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76ED" w14:textId="38F63C5C" w:rsidR="008A73A3" w:rsidRDefault="008A73A3" w:rsidP="009422E2">
      <w:pPr>
        <w:jc w:val="center"/>
      </w:pPr>
    </w:p>
    <w:p w14:paraId="0306FC9A" w14:textId="77777777" w:rsidR="006223EF" w:rsidRDefault="006223EF" w:rsidP="009422E2">
      <w:pPr>
        <w:jc w:val="center"/>
        <w:rPr>
          <w:b/>
          <w:sz w:val="24"/>
        </w:rPr>
      </w:pPr>
      <w:r>
        <w:rPr>
          <w:b/>
          <w:sz w:val="24"/>
        </w:rPr>
        <w:t>Post-doctorant</w:t>
      </w:r>
    </w:p>
    <w:p w14:paraId="043576F0" w14:textId="2FA24659" w:rsidR="009422E2" w:rsidRPr="0085490B" w:rsidRDefault="008A10B0" w:rsidP="009422E2">
      <w:pPr>
        <w:jc w:val="center"/>
        <w:rPr>
          <w:b/>
          <w:sz w:val="24"/>
        </w:rPr>
      </w:pPr>
      <w:r>
        <w:rPr>
          <w:b/>
          <w:sz w:val="24"/>
        </w:rPr>
        <w:t>Développement d’</w:t>
      </w:r>
      <w:r w:rsidR="00374BD3">
        <w:rPr>
          <w:b/>
          <w:sz w:val="24"/>
        </w:rPr>
        <w:t>une méthodologie d’évaluation de la qualité d’usage d’un produit</w:t>
      </w:r>
    </w:p>
    <w:p w14:paraId="043576F1" w14:textId="2C5472BD" w:rsidR="009422E2" w:rsidRDefault="009422E2" w:rsidP="009422E2">
      <w:pPr>
        <w:jc w:val="center"/>
      </w:pPr>
    </w:p>
    <w:p w14:paraId="4493352B" w14:textId="34766DD2" w:rsidR="009D3F39" w:rsidRPr="009D3F39" w:rsidRDefault="009D3F39" w:rsidP="009D3F39">
      <w:pPr>
        <w:rPr>
          <w:b/>
        </w:rPr>
      </w:pPr>
      <w:r>
        <w:rPr>
          <w:b/>
        </w:rPr>
        <w:t>C</w:t>
      </w:r>
      <w:r w:rsidRPr="009D3F39">
        <w:rPr>
          <w:b/>
        </w:rPr>
        <w:t>ontexte</w:t>
      </w:r>
    </w:p>
    <w:p w14:paraId="540B5BC5" w14:textId="7F532116" w:rsidR="009D3F39" w:rsidRDefault="009D3F39" w:rsidP="009D3F39">
      <w:r>
        <w:t>Depuis 2021, la chaire Technology for Change</w:t>
      </w:r>
      <w:r w:rsidR="006C6A16">
        <w:t xml:space="preserve"> de l’Institut polytechnique de Paris (</w:t>
      </w:r>
      <w:r w:rsidR="00F231ED">
        <w:t>regroupant École polytechnique, ENSAE, ENSTA, TélécomParis, Télécom Sud Paris)</w:t>
      </w:r>
      <w:r>
        <w:t xml:space="preserve">, </w:t>
      </w:r>
      <w:r w:rsidR="00B92306">
        <w:t>f</w:t>
      </w:r>
      <w:r w:rsidR="001D226B">
        <w:t xml:space="preserve">inancée </w:t>
      </w:r>
      <w:r w:rsidR="007F4FDA">
        <w:t>par un</w:t>
      </w:r>
      <w:r w:rsidR="005C73F0">
        <w:t xml:space="preserve"> mécénat </w:t>
      </w:r>
      <w:r w:rsidR="007F4FDA">
        <w:t>d’</w:t>
      </w:r>
      <w:r>
        <w:t>Accenture, porte les valeurs d’une technologie portée par la société, inclusive et vecteur d’innovation systémique, permettant la transformation de l’industrie et l’émergence de nouveaux modèles économiques au service d’une durabilité environnementale et sociale.</w:t>
      </w:r>
    </w:p>
    <w:p w14:paraId="1F9FA37F" w14:textId="5D25E83A" w:rsidR="0025391F" w:rsidRPr="0025391F" w:rsidRDefault="0025391F" w:rsidP="009D3F39">
      <w:pPr>
        <w:rPr>
          <w:b/>
        </w:rPr>
      </w:pPr>
      <w:r>
        <w:t xml:space="preserve">Depuis 2018, le </w:t>
      </w:r>
      <w:r w:rsidR="00544F21">
        <w:t>laboratoire i</w:t>
      </w:r>
      <w:r w:rsidR="00B078DE" w:rsidRPr="00AA65D0">
        <w:rPr>
          <w:vertAlign w:val="superscript"/>
        </w:rPr>
        <w:t>3</w:t>
      </w:r>
      <w:r w:rsidR="00B078DE">
        <w:t xml:space="preserve">-CRG </w:t>
      </w:r>
      <w:r w:rsidR="004A4985">
        <w:t>(UMR CNRS 9217)</w:t>
      </w:r>
      <w:r>
        <w:t xml:space="preserve"> et le TechLab d’APF France handicap mènent des recherches sur l’innovation inclusive, sur la participation des personnes en situation de handicap à l’innovation et sur la conception universelle.</w:t>
      </w:r>
    </w:p>
    <w:p w14:paraId="02940E5A" w14:textId="66A20482" w:rsidR="006223EF" w:rsidRDefault="006223EF" w:rsidP="006223EF">
      <w:r w:rsidRPr="008802C9">
        <w:t xml:space="preserve">L’innovation technologique </w:t>
      </w:r>
      <w:r w:rsidR="00E2380B">
        <w:t xml:space="preserve">et l’innovation produit </w:t>
      </w:r>
      <w:r w:rsidRPr="008802C9">
        <w:t>peu</w:t>
      </w:r>
      <w:r w:rsidR="00E2380B">
        <w:t>vent</w:t>
      </w:r>
      <w:r w:rsidRPr="008802C9">
        <w:t xml:space="preserve"> être une formidable opportunité pour les personnes en situation de handicap</w:t>
      </w:r>
      <w:r w:rsidR="00E2380B">
        <w:t xml:space="preserve"> et les personnes en perte d’autonomie</w:t>
      </w:r>
      <w:r w:rsidRPr="008802C9">
        <w:t xml:space="preserve"> mais elle est également souvent un facteur d’exclusion</w:t>
      </w:r>
      <w:r w:rsidR="00B049A1">
        <w:t xml:space="preserve"> </w:t>
      </w:r>
      <w:r w:rsidR="00B049A1">
        <w:fldChar w:fldCharType="begin"/>
      </w:r>
      <w:r w:rsidR="00B049A1">
        <w:instrText xml:space="preserve"> ADDIN ZOTERO_ITEM CSL_CITATION {"citationID":"e9fHjzMH","properties":{"formattedCitation":"(Casilli, 2010)","plainCitation":"(Casilli, 2010)","noteIndex":0},"citationItems":[{"id":3943,"uris":["http://zotero.org/users/4822683/items/ZGJWB77F"],"itemData":{"id":3943,"type":"article-journal","page":"16","source":"Zotero","title":"Technologies capacitantes et ''disability divide'': Enjeux des usages numériques dans les situations de handicap","author":[{"family":"Casilli","given":"Antonio"}],"issued":{"date-parts":[["2010"]]}}}],"schema":"https://github.com/citation-style-language/schema/raw/master/csl-citation.json"} </w:instrText>
      </w:r>
      <w:r w:rsidR="00B049A1">
        <w:fldChar w:fldCharType="separate"/>
      </w:r>
      <w:r w:rsidR="00B049A1" w:rsidRPr="00B049A1">
        <w:rPr>
          <w:rFonts w:ascii="Calibri" w:hAnsi="Calibri" w:cs="Calibri"/>
        </w:rPr>
        <w:t>(Casilli, 2010)</w:t>
      </w:r>
      <w:r w:rsidR="00B049A1">
        <w:fldChar w:fldCharType="end"/>
      </w:r>
      <w:r w:rsidR="00E2380B">
        <w:t xml:space="preserve">. Par exemple, les écrans tactiles ont complexifié l’interaction pour les personnes malvoyantes ou souffrant de tremblements des membres supérieurs. En revanche la commande vocale a pu leur faciliter les choses. </w:t>
      </w:r>
    </w:p>
    <w:p w14:paraId="389B042C" w14:textId="16400E1A" w:rsidR="00E2380B" w:rsidRDefault="00E2380B" w:rsidP="006223EF">
      <w:r>
        <w:t>Par ailleurs, l’innovation</w:t>
      </w:r>
      <w:r w:rsidR="00A42987">
        <w:t xml:space="preserve"> incrémentale rend les produits et les interfaces de plus en plus complexes. La surcharge technologique crée une fatigue cognitive </w:t>
      </w:r>
      <w:r w:rsidR="00A42987">
        <w:fldChar w:fldCharType="begin"/>
      </w:r>
      <w:r w:rsidR="00A42987">
        <w:instrText xml:space="preserve"> ADDIN ZOTERO_ITEM CSL_CITATION {"citationID":"AxnUolOs","properties":{"formattedCitation":"(Thompson, Hamilton et Rust, 2005)","plainCitation":"(Thompson, Hamilton et Rust, 2005)","noteIndex":0},"citationItems":[{"id":333,"uris":["http://zotero.org/users/4822683/items/CBWPDDS3"],"itemData":{"id":333,"type":"article-journal","container-title":"Journal of Marketing Research","DOI":"10.1509/jmkr.2005.42.4.431","ISSN":"0022-2437, 1547-7193","issue":"4","language":"en","page":"431-442","source":"Crossref","title":"Feature Fatigue: When Product Capabilities Become Too Much of a Good Thing","title-short":"Feature Fatigue","volume":"42","author":[{"family":"Thompson","given":"Debora Viana"},{"family":"Hamilton","given":"Rebecca W."},{"family":"Rust","given":"Roland T."}],"issued":{"date-parts":[["2005",11]]}}}],"schema":"https://github.com/citation-style-language/schema/raw/master/csl-citation.json"} </w:instrText>
      </w:r>
      <w:r w:rsidR="00A42987">
        <w:fldChar w:fldCharType="separate"/>
      </w:r>
      <w:r w:rsidR="00A42987" w:rsidRPr="00A42987">
        <w:rPr>
          <w:rFonts w:ascii="Calibri" w:hAnsi="Calibri" w:cs="Calibri"/>
        </w:rPr>
        <w:t>(Thompson, Hamilton et Rust, 2005)</w:t>
      </w:r>
      <w:r w:rsidR="00A42987">
        <w:fldChar w:fldCharType="end"/>
      </w:r>
      <w:r w:rsidR="00A42987">
        <w:t xml:space="preserve"> que tous les utilisateurs subissent au quotidien. En plus d’être non conforme aux usages, cette surcharge est coûteuse pour l’environnement. Il est donc urgent de revenir aux besoins de l’utilisateur dans sa diversité, et aux principes de bonne conception du design universel </w:t>
      </w:r>
      <w:r w:rsidR="00A42987">
        <w:fldChar w:fldCharType="begin"/>
      </w:r>
      <w:r w:rsidR="00A42987">
        <w:instrText xml:space="preserve"> ADDIN ZOTERO_ITEM CSL_CITATION {"citationID":"z49oVUxs","properties":{"formattedCitation":"(Story, Mueller et Mace, 1998)","plainCitation":"(Story, Mueller et Mace, 1998)","noteIndex":0},"citationItems":[{"id":188,"uris":["http://zotero.org/users/4822683/items/QSK7HQSN"],"itemData":{"id":188,"type":"book","abstract":"This book presents a guide to the concept of universal design, the design of products and environments to be usable to the greatest extent possible by people of all ages and abilities/disabilities. Chapters 1 and 2 present a brief history of universal design and examine the spectrum of human abilities. Chapter 3 addresses the seven principles of universal design: (1) equitable use; (2) flexibility in use; (3) simple and intuitive use; (4) perceptible information; (5) tolerance for error; (6) low physical effort; and (7) size and space for approach and use. Chapter 4 offers case studies to illustrate each of the seven principles including: (1) promoting equality while preserving history at the University of Virginia; (2) consideration by the Fiskars company of various customer  ages and abilities in design of tools such as scissors; (3) the IKEA company's commitment to simplicity in product assembly; (4) designing for the senses at the Lighthouse, Inc.; (5) McKechne Plastics' elimination of measuring tasks in its \"squeeze-meter\" dispenser; (6) redesign of classic Tupperware by that company; and (7) Steelcase, Inc.'s commitment to a new approach to workplace design. A resource list is appended. (Contains approximately 300 references.) (DB)","language":"en","publisher":"Center for Universal Design, NC State University","source":"ERIC","title":"The Universal Design File: Designing for People of All Ages and Abilities. Revised Edition","title-short":"The Universal Design File","URL":"https://eric.ed.gov/?id=ED460554","author":[{"family":"Story","given":"Molly Follette"},{"family":"Mueller","given":"James L."},{"family":"Mace","given":"Ronald L."}],"accessed":{"date-parts":[["2018",10,22]]},"issued":{"date-parts":[["1998"]]}}}],"schema":"https://github.com/citation-style-language/schema/raw/master/csl-citation.json"} </w:instrText>
      </w:r>
      <w:r w:rsidR="00A42987">
        <w:fldChar w:fldCharType="separate"/>
      </w:r>
      <w:r w:rsidR="00A42987" w:rsidRPr="00A42987">
        <w:rPr>
          <w:rFonts w:ascii="Calibri" w:hAnsi="Calibri" w:cs="Calibri"/>
        </w:rPr>
        <w:t>(Story, Mueller et Mace, 1998)</w:t>
      </w:r>
      <w:r w:rsidR="00A42987">
        <w:fldChar w:fldCharType="end"/>
      </w:r>
      <w:r w:rsidR="00A42987">
        <w:t>.</w:t>
      </w:r>
    </w:p>
    <w:p w14:paraId="13F580E7" w14:textId="77777777" w:rsidR="008A10B0" w:rsidRDefault="00F218CD" w:rsidP="006223EF">
      <w:r>
        <w:t xml:space="preserve">L’un des moyens d’inciter les acteurs à adopter de nouveaux comportements est la mise en œuvre de labels, de nomes ou de directives. </w:t>
      </w:r>
      <w:r w:rsidR="008A10B0">
        <w:t xml:space="preserve">La multiplication des labels dans le domaine de la préservation de l’environnement en témoigne. </w:t>
      </w:r>
      <w:r>
        <w:t xml:space="preserve">Des normes fournissent une base de travail pour assurer l’accessibilité du bâti. Il n’existe pas d’équivalent pour la conception des produits. </w:t>
      </w:r>
    </w:p>
    <w:p w14:paraId="3269AF4C" w14:textId="7F6E1996" w:rsidR="00F218CD" w:rsidRPr="008802C9" w:rsidRDefault="00F218CD" w:rsidP="006223EF">
      <w:r>
        <w:t xml:space="preserve">Les méthodes d’évaluation existantes s’appuient en effet sur des avis utilisateur </w:t>
      </w:r>
      <w:r>
        <w:fldChar w:fldCharType="begin"/>
      </w:r>
      <w:r>
        <w:instrText xml:space="preserve"> ADDIN ZOTERO_ITEM CSL_CITATION {"citationID":"Wu6K8SbA","properties":{"formattedCitation":"(2002)","plainCitation":"(2002)","noteIndex":0},"citationItems":[{"id":5009,"uris":["http://zotero.org/users/4822683/items/2JETJQNI"],"itemData":{"id":5009,"type":"report","event-place":"N.C. State University","publisher":"The Center for Universal Design","publisher-place":"N.C. State University","title":"Universal design : Product Evaluation Countdown","URL":"https://projects.ncsu.edu/ncsu/design/cud/pubs_p/docs/UDPEC.pdf","accessed":{"date-parts":[["2022",8,17]]},"issued":{"date-parts":[["2002"]]}}}],"schema":"https://github.com/citation-style-language/schema/raw/master/csl-citation.json"} </w:instrText>
      </w:r>
      <w:r>
        <w:fldChar w:fldCharType="separate"/>
      </w:r>
      <w:r w:rsidRPr="00F218CD">
        <w:rPr>
          <w:rFonts w:ascii="Calibri" w:hAnsi="Calibri" w:cs="Calibri"/>
        </w:rPr>
        <w:t>(2002)</w:t>
      </w:r>
      <w:r>
        <w:fldChar w:fldCharType="end"/>
      </w:r>
      <w:r w:rsidR="0025391F">
        <w:t>, ce qui limite l’objectivité et la comparabilité, ou sur un nombre d’utilisateurs exclus ou désavantagé</w:t>
      </w:r>
      <w:r w:rsidR="008A10B0">
        <w:t>s par le produit</w:t>
      </w:r>
      <w:r w:rsidR="0025391F">
        <w:t xml:space="preserve"> </w:t>
      </w:r>
      <w:r w:rsidR="0025391F">
        <w:fldChar w:fldCharType="begin"/>
      </w:r>
      <w:r w:rsidR="0025391F">
        <w:instrText xml:space="preserve"> ADDIN ZOTERO_ITEM CSL_CITATION {"citationID":"wm3seNPo","properties":{"formattedCitation":"(Keates et Clarkson, 2003)","plainCitation":"(Keates et Clarkson, 2003)","noteIndex":0},"citationItems":[{"id":4442,"uris":["http://zotero.org/users/4822683/items/WYP7SR9W"],"itemData":{"id":4442,"type":"chapter","abstract":"It is known that many products, both software and hardware, are not accessible to large sections of the population. Designers instinctively design for able-bodied users and are either unaware of the needs of users with different capabilities, or do not know how to accommodate their needs into the design cycle. This chapter presents a model of the information flow required for successful inclusive design (the ‘Knowledge Loop’), along with a methodological design approach for implementing successful inclusive design (the 7-Level approach).","container-title":"Inclusive Design: Design for the Whole Population","event-place":"London","ISBN":"978-1-4471-0001-0","language":"en","note":"DOI: 10.1007/978-1-4471-0001-0_27","page":"438-453","publisher":"Springer","publisher-place":"London","source":"Springer Link","title":"Countering design exclusion","URL":"https://doi.org/10.1007/978-1-4471-0001-0_27","author":[{"family":"Keates","given":"Simeon"},{"family":"Clarkson","given":"John"}],"editor":[{"family":"Clarkson","given":"John"},{"family":"Keates","given":"Simeon"},{"family":"Coleman","given":"Roger"},{"family":"Lebbon","given":"Cherie"}],"accessed":{"date-parts":[["2022",6,17]]},"issued":{"date-parts":[["2003"]]}}}],"schema":"https://github.com/citation-style-language/schema/raw/master/csl-citation.json"} </w:instrText>
      </w:r>
      <w:r w:rsidR="0025391F">
        <w:fldChar w:fldCharType="separate"/>
      </w:r>
      <w:r w:rsidR="0025391F" w:rsidRPr="0025391F">
        <w:rPr>
          <w:rFonts w:ascii="Calibri" w:hAnsi="Calibri" w:cs="Calibri"/>
        </w:rPr>
        <w:t>(Keates et Clarkson, 2003)</w:t>
      </w:r>
      <w:r w:rsidR="0025391F">
        <w:fldChar w:fldCharType="end"/>
      </w:r>
      <w:r w:rsidR="0025391F">
        <w:t>, ce qui ne donne pas d’indication de la qualité d’usage pour tous.</w:t>
      </w:r>
    </w:p>
    <w:p w14:paraId="007BA649" w14:textId="77777777" w:rsidR="009D3F39" w:rsidRDefault="009D3F39" w:rsidP="006223EF"/>
    <w:p w14:paraId="38F2888D" w14:textId="2C4CB0DC" w:rsidR="009D3F39" w:rsidRPr="009D3F39" w:rsidRDefault="009D3F39" w:rsidP="006223EF">
      <w:pPr>
        <w:rPr>
          <w:b/>
        </w:rPr>
      </w:pPr>
      <w:r w:rsidRPr="009D3F39">
        <w:rPr>
          <w:b/>
        </w:rPr>
        <w:t>Missions</w:t>
      </w:r>
    </w:p>
    <w:p w14:paraId="7C14DDB1" w14:textId="6FBE7C01" w:rsidR="009D3F39" w:rsidRDefault="009D3F39" w:rsidP="006223EF">
      <w:r>
        <w:t>Le</w:t>
      </w:r>
      <w:r w:rsidR="00B66D61">
        <w:t xml:space="preserve"> ou la</w:t>
      </w:r>
      <w:r>
        <w:t xml:space="preserve"> post-doctorant</w:t>
      </w:r>
      <w:r w:rsidR="00B66D61">
        <w:t>(e)</w:t>
      </w:r>
      <w:r>
        <w:t xml:space="preserve"> aura pour mission </w:t>
      </w:r>
      <w:r w:rsidR="00B66D61">
        <w:t xml:space="preserve">d’élaborer et de tester une </w:t>
      </w:r>
      <w:r w:rsidR="00B66D61" w:rsidRPr="00B66D61">
        <w:rPr>
          <w:b/>
        </w:rPr>
        <w:t>méthodologie d’évaluation de l’accessibilité et de la qualité d’usage des produits</w:t>
      </w:r>
      <w:r w:rsidR="00B66D61">
        <w:rPr>
          <w:b/>
        </w:rPr>
        <w:t xml:space="preserve"> </w:t>
      </w:r>
      <w:r w:rsidR="00B66D61">
        <w:rPr>
          <w:b/>
        </w:rPr>
        <w:fldChar w:fldCharType="begin"/>
      </w:r>
      <w:r w:rsidR="00B66D61">
        <w:rPr>
          <w:b/>
        </w:rPr>
        <w:instrText xml:space="preserve"> ADDIN ZOTERO_ITEM CSL_CITATION {"citationID":"RUdfAFrW","properties":{"formattedCitation":"(Szyja, 2018)","plainCitation":"(Szyja, 2018)","noteIndex":0},"citationItems":[{"id":5006,"uris":["http://zotero.org/users/4822683/items/V7EHJYDR"],"itemData":{"id":5006,"type":"article-journal","abstract":"Les termes accessibilité et handicap sont, malheureusement encore aujourd’hui, perçus de manière négative, contraignante et stigmatisante alors que leur signification en est bien loin. Ainsi, pour s’en servir comme occasion de développer des espaces publics accessibles pour tous et toutes, il est nécessaire de s’appuyer sur les lois existantes et les compétences de professionnels de l’accompagnement à la qualité d’usage. Émilie Szyja, fondatrice du bureau de conseils ESqua, nous décrit l’intérêt de renverser nos schémas de pensée.","container-title":"Les Cahiers du Développement Social Urbain","DOI":"10.3917/cdsu.067.0008","ISSN":"1283-8497","issue":"1","journalAbbreviation":"Les Cahiers du Développement Social Urbain","language":"fr","note":"publisher: Labo Cités","page":"8-10","source":"Cairn.info","title":"La qualité d’usage, une démarche d’accessibilité pour tous","volume":"67","author":[{"family":"Szyja","given":"Émilie"}],"issued":{"date-parts":[["2018"]]}}}],"schema":"https://github.com/citation-style-language/schema/raw/master/csl-citation.json"} </w:instrText>
      </w:r>
      <w:r w:rsidR="00B66D61">
        <w:rPr>
          <w:b/>
        </w:rPr>
        <w:fldChar w:fldCharType="separate"/>
      </w:r>
      <w:r w:rsidR="00B66D61" w:rsidRPr="00B66D61">
        <w:rPr>
          <w:rFonts w:ascii="Calibri" w:hAnsi="Calibri" w:cs="Calibri"/>
        </w:rPr>
        <w:t>(Szyja, 2018)</w:t>
      </w:r>
      <w:r w:rsidR="00B66D61">
        <w:rPr>
          <w:b/>
        </w:rPr>
        <w:fldChar w:fldCharType="end"/>
      </w:r>
      <w:r w:rsidR="00232C0D">
        <w:rPr>
          <w:b/>
        </w:rPr>
        <w:t>, avec une approche de conception universelle</w:t>
      </w:r>
      <w:r>
        <w:t>.</w:t>
      </w:r>
      <w:r w:rsidR="00B66D61">
        <w:t xml:space="preserve"> Cette méthodologie pourra s’appliquer à tout type de produits, technologiques ou non. </w:t>
      </w:r>
      <w:r>
        <w:t>Pour cela, il</w:t>
      </w:r>
      <w:r w:rsidR="00B66D61">
        <w:t xml:space="preserve"> ou elle</w:t>
      </w:r>
      <w:r>
        <w:t xml:space="preserve"> se familiarisera avec une littérature diverse en design, </w:t>
      </w:r>
      <w:r w:rsidR="00B66D61">
        <w:t xml:space="preserve">ergonomie, ergonomie cognitive, </w:t>
      </w:r>
      <w:r w:rsidR="00173C16">
        <w:t>sciences de gestion</w:t>
      </w:r>
      <w:r>
        <w:t xml:space="preserve">, </w:t>
      </w:r>
      <w:r w:rsidR="00173C16">
        <w:t xml:space="preserve">sciences de l’ingénieur, sciences de </w:t>
      </w:r>
      <w:r w:rsidR="00173C16">
        <w:lastRenderedPageBreak/>
        <w:t xml:space="preserve">l’information et de la communication, </w:t>
      </w:r>
      <w:r w:rsidR="00B66D61">
        <w:t xml:space="preserve">ou </w:t>
      </w:r>
      <w:r w:rsidR="00173C16">
        <w:t>psychologie.</w:t>
      </w:r>
      <w:r w:rsidR="00B66D61">
        <w:t xml:space="preserve"> Il ou elle pourra également s’appuyer sur les premières grilles d’évaluation produit élaborées et testées par le TechLab. </w:t>
      </w:r>
    </w:p>
    <w:p w14:paraId="15CAE253" w14:textId="6885887C" w:rsidR="00640E6A" w:rsidRDefault="00640E6A" w:rsidP="006223EF">
      <w:r>
        <w:t>Cet état des lieux lui permettra de modéliser une méthode universelle d</w:t>
      </w:r>
      <w:r w:rsidR="00B66D61">
        <w:t>’évaluation de la qualité d’usage d’un produit qui sera testée au TechLab</w:t>
      </w:r>
      <w:r w:rsidR="008A10B0">
        <w:t>, en partenariat avec de grandes entreprises B2C</w:t>
      </w:r>
      <w:r w:rsidR="00B66D61">
        <w:t>. Une publication scientifique sera attendue à l’issue de ce travail, ainsi qu’un outil permettant au TechLab d’utiliser la méthode d’évaluation.</w:t>
      </w:r>
    </w:p>
    <w:p w14:paraId="043576FF" w14:textId="77777777" w:rsidR="00ED5273" w:rsidRDefault="00ED5273" w:rsidP="00ED5273"/>
    <w:p w14:paraId="163536B8" w14:textId="43081394" w:rsidR="00C00EDE" w:rsidRDefault="00ED5273" w:rsidP="00AA65D0">
      <w:r w:rsidRPr="00ED5273">
        <w:rPr>
          <w:b/>
        </w:rPr>
        <w:t>Profil :</w:t>
      </w:r>
      <w:r w:rsidR="00AA65D0">
        <w:rPr>
          <w:b/>
        </w:rPr>
        <w:t xml:space="preserve"> </w:t>
      </w:r>
      <w:r w:rsidR="00640E6A">
        <w:t xml:space="preserve">Doctorat en sciences de gestion, </w:t>
      </w:r>
      <w:r w:rsidR="00640E6A" w:rsidRPr="00640E6A">
        <w:t>design, ergonomie cognitive</w:t>
      </w:r>
      <w:r w:rsidR="00640E6A">
        <w:t>, psychologie ou sciences de l’information</w:t>
      </w:r>
      <w:r w:rsidR="00C00EDE">
        <w:t xml:space="preserve">. </w:t>
      </w:r>
    </w:p>
    <w:p w14:paraId="04357707" w14:textId="77777777" w:rsidR="00F27D61" w:rsidRPr="00F27D61" w:rsidRDefault="00F27D61" w:rsidP="00ED5273">
      <w:pPr>
        <w:jc w:val="both"/>
        <w:rPr>
          <w:b/>
          <w:i/>
        </w:rPr>
      </w:pPr>
    </w:p>
    <w:p w14:paraId="04357712" w14:textId="76D6247E" w:rsidR="00837EBD" w:rsidRDefault="00837EBD" w:rsidP="00ED5273">
      <w:r w:rsidRPr="00837EBD">
        <w:rPr>
          <w:b/>
        </w:rPr>
        <w:t>Lieu de travail :</w:t>
      </w:r>
      <w:r w:rsidR="00C00EDE">
        <w:rPr>
          <w:b/>
        </w:rPr>
        <w:t xml:space="preserve"> </w:t>
      </w:r>
      <w:r w:rsidR="008D5908">
        <w:t>Palaiseau</w:t>
      </w:r>
      <w:r w:rsidR="00B66D61">
        <w:t>, Paris</w:t>
      </w:r>
      <w:r w:rsidR="00C00EDE">
        <w:t xml:space="preserve"> </w:t>
      </w:r>
    </w:p>
    <w:p w14:paraId="04357713" w14:textId="44D8AD4D" w:rsidR="0085490B" w:rsidRPr="0085490B" w:rsidRDefault="0085490B" w:rsidP="00ED5273">
      <w:r>
        <w:rPr>
          <w:b/>
        </w:rPr>
        <w:t xml:space="preserve">Démarrage : </w:t>
      </w:r>
      <w:r w:rsidR="008A10B0">
        <w:t>début 2023</w:t>
      </w:r>
    </w:p>
    <w:p w14:paraId="04357714" w14:textId="61838C53" w:rsidR="0085490B" w:rsidRDefault="0085490B" w:rsidP="00ED5273">
      <w:r w:rsidRPr="0085490B">
        <w:rPr>
          <w:b/>
        </w:rPr>
        <w:t>Durée :</w:t>
      </w:r>
      <w:r>
        <w:t xml:space="preserve"> </w:t>
      </w:r>
      <w:r w:rsidR="008A10B0">
        <w:t>8 à 12 mois</w:t>
      </w:r>
    </w:p>
    <w:p w14:paraId="3B8C65E5" w14:textId="25FD7CA0" w:rsidR="00C00EDE" w:rsidRDefault="00C00EDE" w:rsidP="00AA65D0">
      <w:pPr>
        <w:shd w:val="clear" w:color="auto" w:fill="F2F2F2" w:themeFill="background1" w:themeFillShade="F2"/>
        <w:jc w:val="center"/>
      </w:pPr>
      <w:r>
        <w:rPr>
          <w:b/>
        </w:rPr>
        <w:t>Pour postuler</w:t>
      </w:r>
      <w:r w:rsidR="006B7FC2">
        <w:t> </w:t>
      </w:r>
      <w:r w:rsidRPr="00C00EDE">
        <w:rPr>
          <w:b/>
        </w:rPr>
        <w:t>ou obtenir plus d’informations :</w:t>
      </w:r>
    </w:p>
    <w:p w14:paraId="04357715" w14:textId="08A2E01E" w:rsidR="001E215F" w:rsidRDefault="00C00EDE" w:rsidP="00AA65D0">
      <w:pPr>
        <w:shd w:val="clear" w:color="auto" w:fill="F2F2F2" w:themeFill="background1" w:themeFillShade="F2"/>
        <w:jc w:val="center"/>
      </w:pPr>
      <w:r>
        <w:t xml:space="preserve">Merci d’envoyer un CV, publications et une note de problématisation à </w:t>
      </w:r>
      <w:hyperlink r:id="rId11" w:history="1">
        <w:r w:rsidRPr="006152FF">
          <w:rPr>
            <w:rStyle w:val="Lienhypertexte"/>
          </w:rPr>
          <w:t>estelle.peyrard@apf.asso.fr</w:t>
        </w:r>
      </w:hyperlink>
    </w:p>
    <w:p w14:paraId="48E029C7" w14:textId="77777777" w:rsidR="00AA65D0" w:rsidRDefault="00AA65D0" w:rsidP="00AA65D0">
      <w:pPr>
        <w:spacing w:before="100" w:beforeAutospacing="1" w:after="0" w:line="240" w:lineRule="auto"/>
        <w:jc w:val="both"/>
        <w:rPr>
          <w:b/>
        </w:rPr>
      </w:pPr>
    </w:p>
    <w:p w14:paraId="270BF78F" w14:textId="07A465C0" w:rsidR="00AA65D0" w:rsidRPr="00AA65D0" w:rsidRDefault="00AA65D0" w:rsidP="00AA65D0">
      <w:pPr>
        <w:spacing w:before="100" w:beforeAutospacing="1" w:after="0" w:line="240" w:lineRule="auto"/>
        <w:jc w:val="both"/>
        <w:rPr>
          <w:b/>
        </w:rPr>
      </w:pPr>
      <w:r w:rsidRPr="00AA65D0">
        <w:rPr>
          <w:b/>
        </w:rPr>
        <w:t xml:space="preserve">Présentation </w:t>
      </w:r>
      <w:r>
        <w:rPr>
          <w:b/>
        </w:rPr>
        <w:t>des entités :</w:t>
      </w:r>
    </w:p>
    <w:p w14:paraId="7F4969E1" w14:textId="36C10C91" w:rsidR="00AA65D0" w:rsidRPr="00AA65D0" w:rsidRDefault="00AA65D0" w:rsidP="00AA65D0">
      <w:pPr>
        <w:spacing w:before="100" w:beforeAutospacing="1" w:after="0" w:line="240" w:lineRule="auto"/>
        <w:jc w:val="both"/>
      </w:pPr>
      <w:r w:rsidRPr="00AA65D0">
        <w:t xml:space="preserve">Unissant les forces de cinq des plus Grandes Écoles d’ingénieur françaises : l’École polytechnique, l’ENSTA Paris, l’ENSAE Paris, Télécom Paris et Télécom SudParis, </w:t>
      </w:r>
      <w:r w:rsidRPr="00AA65D0">
        <w:rPr>
          <w:b/>
        </w:rPr>
        <w:t xml:space="preserve">l’Institut Polytechnique de Paris </w:t>
      </w:r>
      <w:r w:rsidRPr="00AA65D0">
        <w:t xml:space="preserve">(IP PARIS) fait partie des meilleurs établissements d’enseignement supérieur et de recherche au niveau national et international. Il dispense des programmes de formation attractifs, garantissant une excellente employabilité et visant des publics variés : Licence (Bachelor), cycle Ingénieur, Master, Doctorat et formation tout au long de la vie. </w:t>
      </w:r>
    </w:p>
    <w:p w14:paraId="3E6FD7FF" w14:textId="77777777" w:rsidR="00AA65D0" w:rsidRPr="00AA65D0" w:rsidRDefault="00AA65D0" w:rsidP="00AA65D0">
      <w:pPr>
        <w:spacing w:before="100" w:beforeAutospacing="1" w:after="0" w:line="240" w:lineRule="auto"/>
        <w:jc w:val="both"/>
      </w:pPr>
      <w:r w:rsidRPr="00AA65D0">
        <w:rPr>
          <w:b/>
        </w:rPr>
        <w:t xml:space="preserve">La Chaire « Technology for Change » </w:t>
      </w:r>
      <w:r w:rsidRPr="00AA65D0">
        <w:t xml:space="preserve">est la première chaire de recherche et d’enseignement de l’Institut polytechnique de Paris. Fondée dans le cadre d’un programme de mécénat de 5 ans porté par Accenture, cette chaire a pour objectif de renforcer les liens entre sciences et technologies, d’une part, et les grands défis environnementaux, sociaux et économiques, afin de favoriser le développement de technologies vertueuses et inclusives. La Chaire Technology for Change rassemble à ce jour 8 enseignants-chercheurs, 5 doctorants, 3 postdoctorants et 3 personnels administratifs. Les locaux de la Chaire sont situés au sein du Drahi-X Novation Center de l’École polytechnique, qui héberge le programme d’incubation X-UP, l’accélérateur Espace X-TECH, l’espace de prototypage X-F4B, ainsi que les équipes innovation de grandes entreprises (Fujistu, Valeo…). </w:t>
      </w:r>
    </w:p>
    <w:p w14:paraId="10718630" w14:textId="77777777" w:rsidR="00AA65D0" w:rsidRPr="00AA65D0" w:rsidRDefault="00AA65D0" w:rsidP="00AA65D0">
      <w:pPr>
        <w:spacing w:before="100" w:beforeAutospacing="1" w:after="0" w:line="240" w:lineRule="auto"/>
        <w:jc w:val="both"/>
      </w:pPr>
      <w:r w:rsidRPr="00AA65D0">
        <w:rPr>
          <w:b/>
        </w:rPr>
        <w:t>L’institut interdisciplinaire de l’innovation (i3)</w:t>
      </w:r>
      <w:r w:rsidRPr="00AA65D0">
        <w:t xml:space="preserve"> est une unité mixte de recherche CNRS (UMR 9217) rassemblant des laboratoires de l’École polytechnique (CRG) de Mines ParisTech (CERNA, CGS et CSI). L’institut développe une recherche de haut niveau conciliant excellence académique et pertinence pour les utilisateurs de recherche. Les recherches sont souvent effectuées dans le cadre de contrats avec des entreprises, des associations ou des administrations publiques (3,9 millions de chiffre </w:t>
      </w:r>
      <w:r w:rsidRPr="00AA65D0">
        <w:lastRenderedPageBreak/>
        <w:t>d’affaires en 2011). L’institut porte également 8 chaires d’entreprise. Par ses activités de recherche et de formation, i3 participe à relever les grands défis de l’heure: la diffusion des technologies de l’information, la santé, l’innovation, l’énergie et le développement durable.</w:t>
      </w:r>
    </w:p>
    <w:p w14:paraId="6E3590D0" w14:textId="77777777" w:rsidR="00AA65D0" w:rsidRDefault="00AA65D0" w:rsidP="00AA65D0">
      <w:pPr>
        <w:spacing w:after="0" w:line="240" w:lineRule="auto"/>
        <w:jc w:val="both"/>
        <w:rPr>
          <w:rFonts w:ascii="Adobe Garamond Pro" w:hAnsi="Adobe Garamond Pro"/>
          <w:sz w:val="24"/>
          <w:szCs w:val="24"/>
        </w:rPr>
      </w:pPr>
    </w:p>
    <w:p w14:paraId="1801704E" w14:textId="77777777" w:rsidR="00AA65D0" w:rsidRDefault="00AA65D0" w:rsidP="00AA65D0">
      <w:pPr>
        <w:spacing w:after="0" w:line="240" w:lineRule="auto"/>
        <w:jc w:val="both"/>
        <w:rPr>
          <w:rStyle w:val="Lienhypertexte"/>
        </w:rPr>
      </w:pPr>
      <w:r>
        <w:t xml:space="preserve">Fondé en 1972 par l’École polytechnique, </w:t>
      </w:r>
      <w:r w:rsidRPr="00AA65D0">
        <w:rPr>
          <w:b/>
        </w:rPr>
        <w:t>le CRG</w:t>
      </w:r>
      <w:r>
        <w:t xml:space="preserve"> est le premier laboratoire de recherche en gestion à avoir été reconnu par le CNRS (1980). Depuis le 1</w:t>
      </w:r>
      <w:r>
        <w:rPr>
          <w:vertAlign w:val="superscript"/>
        </w:rPr>
        <w:t>er</w:t>
      </w:r>
      <w:r>
        <w:t xml:space="preserve"> janvier 2015, il est une des composantes de l’Institut Interdisciplinaire de l’Innovation – i3 – (UMR CNRS 9217) avec des équipes des Mines ParisTech et de Telecom ParisTech. Le CRG dépend du </w:t>
      </w:r>
      <w:r w:rsidRPr="00173C16">
        <w:t>départ</w:t>
      </w:r>
      <w:r>
        <w:t>e</w:t>
      </w:r>
      <w:r w:rsidRPr="00173C16">
        <w:t>ment Management de l'Innovation et Entrepreneuriat</w:t>
      </w:r>
      <w:r>
        <w:t xml:space="preserve"> (MIE) et compte 11 chercheurs, 21 chercheurs associés et 22 doctorants et post doctorants. </w:t>
      </w:r>
      <w:hyperlink r:id="rId12" w:history="1">
        <w:r w:rsidRPr="006152FF">
          <w:rPr>
            <w:rStyle w:val="Lienhypertexte"/>
          </w:rPr>
          <w:t>https://portail.polytechnique.edu/i3_crg/fr</w:t>
        </w:r>
      </w:hyperlink>
    </w:p>
    <w:p w14:paraId="1D4E1EAA" w14:textId="53443A1E" w:rsidR="00AA65D0" w:rsidRDefault="00AA65D0" w:rsidP="00AA65D0">
      <w:pPr>
        <w:spacing w:before="100" w:beforeAutospacing="1" w:after="0" w:line="240" w:lineRule="auto"/>
        <w:jc w:val="both"/>
      </w:pPr>
      <w:r>
        <w:rPr>
          <w:b/>
        </w:rPr>
        <w:t>L</w:t>
      </w:r>
      <w:r w:rsidRPr="00AA65D0">
        <w:rPr>
          <w:b/>
        </w:rPr>
        <w:t xml:space="preserve">e TechLab </w:t>
      </w:r>
      <w:r>
        <w:t>est le département Innovation Technologique d’</w:t>
      </w:r>
      <w:r w:rsidRPr="00AA65D0">
        <w:t>APF France handicap</w:t>
      </w:r>
      <w:r>
        <w:t xml:space="preserve">. Avec ses Ateliers Innovation, le TechLab </w:t>
      </w:r>
      <w:r w:rsidRPr="001552F7">
        <w:t>accompagne les</w:t>
      </w:r>
      <w:r>
        <w:t xml:space="preserve"> startups et les</w:t>
      </w:r>
      <w:r w:rsidRPr="001552F7">
        <w:t xml:space="preserve"> entreprises dans leurs démarches de </w:t>
      </w:r>
      <w:r>
        <w:t xml:space="preserve">co-conception </w:t>
      </w:r>
      <w:r w:rsidRPr="001552F7">
        <w:t xml:space="preserve">avec des personnes en situation de handicap, des aidants et des professionnels du </w:t>
      </w:r>
      <w:r>
        <w:t>médico-social. Le TechLab a une équipe de 9 personnes (divisée sur deux sites, Paris 13 et Tourcoing).</w:t>
      </w:r>
    </w:p>
    <w:p w14:paraId="58FB2B82" w14:textId="77777777" w:rsidR="00AA65D0" w:rsidRDefault="00AA65D0" w:rsidP="00AA65D0"/>
    <w:p w14:paraId="19E8EAC3" w14:textId="65D83BCA" w:rsidR="00C00EDE" w:rsidRPr="00C00EDE" w:rsidRDefault="00C00EDE" w:rsidP="00ED5273">
      <w:pPr>
        <w:rPr>
          <w:b/>
        </w:rPr>
      </w:pPr>
      <w:r w:rsidRPr="00C00EDE">
        <w:rPr>
          <w:b/>
        </w:rPr>
        <w:t>Bibliographie</w:t>
      </w:r>
      <w:r>
        <w:rPr>
          <w:b/>
        </w:rPr>
        <w:t> </w:t>
      </w:r>
      <w:r w:rsidR="00E90402">
        <w:rPr>
          <w:b/>
        </w:rPr>
        <w:t xml:space="preserve">indicative </w:t>
      </w:r>
      <w:r>
        <w:rPr>
          <w:b/>
        </w:rPr>
        <w:t>:</w:t>
      </w:r>
    </w:p>
    <w:p w14:paraId="0ADD3B25" w14:textId="77777777" w:rsidR="0025391F" w:rsidRPr="0025391F" w:rsidRDefault="00E90402" w:rsidP="0025391F">
      <w:pPr>
        <w:pStyle w:val="Bibliographie"/>
        <w:rPr>
          <w:rFonts w:ascii="Calibri" w:hAnsi="Calibri" w:cs="Calibri"/>
        </w:rPr>
      </w:pPr>
      <w:r>
        <w:rPr>
          <w:rFonts w:eastAsia="Calibri"/>
          <w:b/>
        </w:rPr>
        <w:fldChar w:fldCharType="begin"/>
      </w:r>
      <w:r w:rsidRPr="00B049A1">
        <w:rPr>
          <w:b/>
        </w:rPr>
        <w:instrText xml:space="preserve"> ADDIN ZOTERO_BIBL {"uncited":[],"omitted":[],"custom":[]} CSL_BIBLIOGRAPHY </w:instrText>
      </w:r>
      <w:r>
        <w:rPr>
          <w:rFonts w:eastAsia="Calibri"/>
          <w:b/>
        </w:rPr>
        <w:fldChar w:fldCharType="separate"/>
      </w:r>
      <w:r w:rsidR="0025391F" w:rsidRPr="0025391F">
        <w:rPr>
          <w:rFonts w:ascii="Calibri" w:hAnsi="Calibri" w:cs="Calibri"/>
          <w:smallCaps/>
        </w:rPr>
        <w:t>Casilli A.</w:t>
      </w:r>
      <w:r w:rsidR="0025391F" w:rsidRPr="0025391F">
        <w:rPr>
          <w:rFonts w:ascii="Calibri" w:hAnsi="Calibri" w:cs="Calibri"/>
        </w:rPr>
        <w:t>, 2010, « Technologies capacitantes et “« disability divide »”: Enjeux des usages numériques dans les situations de handicap », p. 16.</w:t>
      </w:r>
    </w:p>
    <w:p w14:paraId="6432A36D" w14:textId="77777777" w:rsidR="0025391F" w:rsidRPr="0025391F" w:rsidRDefault="0025391F" w:rsidP="0025391F">
      <w:pPr>
        <w:pStyle w:val="Bibliographie"/>
        <w:rPr>
          <w:rFonts w:ascii="Calibri" w:hAnsi="Calibri" w:cs="Calibri"/>
          <w:lang w:val="en-US"/>
        </w:rPr>
      </w:pPr>
      <w:r w:rsidRPr="0025391F">
        <w:rPr>
          <w:rFonts w:ascii="Calibri" w:hAnsi="Calibri" w:cs="Calibri"/>
          <w:smallCaps/>
          <w:lang w:val="en-US"/>
        </w:rPr>
        <w:t>Keates S.</w:t>
      </w:r>
      <w:r w:rsidRPr="0025391F">
        <w:rPr>
          <w:rFonts w:ascii="Calibri" w:hAnsi="Calibri" w:cs="Calibri"/>
          <w:lang w:val="en-US"/>
        </w:rPr>
        <w:t xml:space="preserve">, </w:t>
      </w:r>
      <w:r w:rsidRPr="0025391F">
        <w:rPr>
          <w:rFonts w:ascii="Calibri" w:hAnsi="Calibri" w:cs="Calibri"/>
          <w:smallCaps/>
          <w:lang w:val="en-US"/>
        </w:rPr>
        <w:t>Clarkson J.</w:t>
      </w:r>
      <w:r w:rsidRPr="0025391F">
        <w:rPr>
          <w:rFonts w:ascii="Calibri" w:hAnsi="Calibri" w:cs="Calibri"/>
          <w:lang w:val="en-US"/>
        </w:rPr>
        <w:t xml:space="preserve">, 2003, « Countering design exclusion », dans </w:t>
      </w:r>
      <w:r w:rsidRPr="0025391F">
        <w:rPr>
          <w:rFonts w:ascii="Calibri" w:hAnsi="Calibri" w:cs="Calibri"/>
          <w:smallCaps/>
          <w:lang w:val="en-US"/>
        </w:rPr>
        <w:t>Clarkson J.</w:t>
      </w:r>
      <w:r w:rsidRPr="0025391F">
        <w:rPr>
          <w:rFonts w:ascii="Calibri" w:hAnsi="Calibri" w:cs="Calibri"/>
          <w:lang w:val="en-US"/>
        </w:rPr>
        <w:t xml:space="preserve">, </w:t>
      </w:r>
      <w:r w:rsidRPr="0025391F">
        <w:rPr>
          <w:rFonts w:ascii="Calibri" w:hAnsi="Calibri" w:cs="Calibri"/>
          <w:smallCaps/>
          <w:lang w:val="en-US"/>
        </w:rPr>
        <w:t>Keates S.</w:t>
      </w:r>
      <w:r w:rsidRPr="0025391F">
        <w:rPr>
          <w:rFonts w:ascii="Calibri" w:hAnsi="Calibri" w:cs="Calibri"/>
          <w:lang w:val="en-US"/>
        </w:rPr>
        <w:t xml:space="preserve">, </w:t>
      </w:r>
      <w:r w:rsidRPr="0025391F">
        <w:rPr>
          <w:rFonts w:ascii="Calibri" w:hAnsi="Calibri" w:cs="Calibri"/>
          <w:smallCaps/>
          <w:lang w:val="en-US"/>
        </w:rPr>
        <w:t>Coleman R.</w:t>
      </w:r>
      <w:r w:rsidRPr="0025391F">
        <w:rPr>
          <w:rFonts w:ascii="Calibri" w:hAnsi="Calibri" w:cs="Calibri"/>
          <w:lang w:val="en-US"/>
        </w:rPr>
        <w:t xml:space="preserve">, </w:t>
      </w:r>
      <w:r w:rsidRPr="0025391F">
        <w:rPr>
          <w:rFonts w:ascii="Calibri" w:hAnsi="Calibri" w:cs="Calibri"/>
          <w:smallCaps/>
          <w:lang w:val="en-US"/>
        </w:rPr>
        <w:t>Lebbon C.</w:t>
      </w:r>
      <w:r w:rsidRPr="0025391F">
        <w:rPr>
          <w:rFonts w:ascii="Calibri" w:hAnsi="Calibri" w:cs="Calibri"/>
          <w:lang w:val="en-US"/>
        </w:rPr>
        <w:t xml:space="preserve"> (dirs.), </w:t>
      </w:r>
      <w:r w:rsidRPr="0025391F">
        <w:rPr>
          <w:rFonts w:ascii="Calibri" w:hAnsi="Calibri" w:cs="Calibri"/>
          <w:i/>
          <w:iCs/>
          <w:lang w:val="en-US"/>
        </w:rPr>
        <w:t>Inclusive Design: Design for the Whole Population</w:t>
      </w:r>
      <w:r w:rsidRPr="0025391F">
        <w:rPr>
          <w:rFonts w:ascii="Calibri" w:hAnsi="Calibri" w:cs="Calibri"/>
          <w:lang w:val="en-US"/>
        </w:rPr>
        <w:t>, London, Springer, p. 438‑453.</w:t>
      </w:r>
    </w:p>
    <w:p w14:paraId="05B47427" w14:textId="77777777" w:rsidR="0025391F" w:rsidRPr="0025391F" w:rsidRDefault="0025391F" w:rsidP="0025391F">
      <w:pPr>
        <w:pStyle w:val="Bibliographie"/>
        <w:rPr>
          <w:rFonts w:ascii="Calibri" w:hAnsi="Calibri" w:cs="Calibri"/>
        </w:rPr>
      </w:pPr>
      <w:r w:rsidRPr="0025391F">
        <w:rPr>
          <w:rFonts w:ascii="Calibri" w:hAnsi="Calibri" w:cs="Calibri"/>
          <w:smallCaps/>
          <w:lang w:val="en-US"/>
        </w:rPr>
        <w:t>Story M.F.</w:t>
      </w:r>
      <w:r w:rsidRPr="0025391F">
        <w:rPr>
          <w:rFonts w:ascii="Calibri" w:hAnsi="Calibri" w:cs="Calibri"/>
          <w:lang w:val="en-US"/>
        </w:rPr>
        <w:t xml:space="preserve">, </w:t>
      </w:r>
      <w:r w:rsidRPr="0025391F">
        <w:rPr>
          <w:rFonts w:ascii="Calibri" w:hAnsi="Calibri" w:cs="Calibri"/>
          <w:smallCaps/>
          <w:lang w:val="en-US"/>
        </w:rPr>
        <w:t>Mueller J.L.</w:t>
      </w:r>
      <w:r w:rsidRPr="0025391F">
        <w:rPr>
          <w:rFonts w:ascii="Calibri" w:hAnsi="Calibri" w:cs="Calibri"/>
          <w:lang w:val="en-US"/>
        </w:rPr>
        <w:t xml:space="preserve">, </w:t>
      </w:r>
      <w:r w:rsidRPr="0025391F">
        <w:rPr>
          <w:rFonts w:ascii="Calibri" w:hAnsi="Calibri" w:cs="Calibri"/>
          <w:smallCaps/>
          <w:lang w:val="en-US"/>
        </w:rPr>
        <w:t>Mace R.L.</w:t>
      </w:r>
      <w:r w:rsidRPr="0025391F">
        <w:rPr>
          <w:rFonts w:ascii="Calibri" w:hAnsi="Calibri" w:cs="Calibri"/>
          <w:lang w:val="en-US"/>
        </w:rPr>
        <w:t xml:space="preserve">, 1998, </w:t>
      </w:r>
      <w:r w:rsidRPr="0025391F">
        <w:rPr>
          <w:rFonts w:ascii="Calibri" w:hAnsi="Calibri" w:cs="Calibri"/>
          <w:i/>
          <w:iCs/>
          <w:lang w:val="en-US"/>
        </w:rPr>
        <w:t xml:space="preserve">The Universal Design File: Designing for People of All Ages and Abilities. </w:t>
      </w:r>
      <w:r w:rsidRPr="0025391F">
        <w:rPr>
          <w:rFonts w:ascii="Calibri" w:hAnsi="Calibri" w:cs="Calibri"/>
          <w:i/>
          <w:iCs/>
        </w:rPr>
        <w:t>Revised Edition</w:t>
      </w:r>
      <w:r w:rsidRPr="0025391F">
        <w:rPr>
          <w:rFonts w:ascii="Calibri" w:hAnsi="Calibri" w:cs="Calibri"/>
        </w:rPr>
        <w:t>, Center for Universal Design, NC State University.</w:t>
      </w:r>
    </w:p>
    <w:p w14:paraId="76D8B0B1" w14:textId="77777777" w:rsidR="0025391F" w:rsidRPr="0025391F" w:rsidRDefault="0025391F" w:rsidP="0025391F">
      <w:pPr>
        <w:pStyle w:val="Bibliographie"/>
        <w:rPr>
          <w:rFonts w:ascii="Calibri" w:hAnsi="Calibri" w:cs="Calibri"/>
        </w:rPr>
      </w:pPr>
      <w:r w:rsidRPr="0025391F">
        <w:rPr>
          <w:rFonts w:ascii="Calibri" w:hAnsi="Calibri" w:cs="Calibri"/>
          <w:smallCaps/>
        </w:rPr>
        <w:t>Szyja É.</w:t>
      </w:r>
      <w:r w:rsidRPr="0025391F">
        <w:rPr>
          <w:rFonts w:ascii="Calibri" w:hAnsi="Calibri" w:cs="Calibri"/>
        </w:rPr>
        <w:t xml:space="preserve">, 2018, « La qualité d’usage, une démarche d’accessibilité pour tous », </w:t>
      </w:r>
      <w:r w:rsidRPr="0025391F">
        <w:rPr>
          <w:rFonts w:ascii="Calibri" w:hAnsi="Calibri" w:cs="Calibri"/>
          <w:i/>
          <w:iCs/>
        </w:rPr>
        <w:t>Les Cahiers du Développement Social Urbain</w:t>
      </w:r>
      <w:r w:rsidRPr="0025391F">
        <w:rPr>
          <w:rFonts w:ascii="Calibri" w:hAnsi="Calibri" w:cs="Calibri"/>
        </w:rPr>
        <w:t xml:space="preserve">, </w:t>
      </w:r>
      <w:r w:rsidRPr="0025391F">
        <w:rPr>
          <w:rFonts w:ascii="Calibri" w:hAnsi="Calibri" w:cs="Calibri"/>
          <w:i/>
          <w:iCs/>
        </w:rPr>
        <w:t>67</w:t>
      </w:r>
      <w:r w:rsidRPr="0025391F">
        <w:rPr>
          <w:rFonts w:ascii="Calibri" w:hAnsi="Calibri" w:cs="Calibri"/>
        </w:rPr>
        <w:t>, 1, p. 8‑10.</w:t>
      </w:r>
    </w:p>
    <w:p w14:paraId="71FF5CCD" w14:textId="77777777" w:rsidR="0025391F" w:rsidRPr="0025391F" w:rsidRDefault="0025391F" w:rsidP="0025391F">
      <w:pPr>
        <w:pStyle w:val="Bibliographie"/>
        <w:rPr>
          <w:rFonts w:ascii="Calibri" w:hAnsi="Calibri" w:cs="Calibri"/>
          <w:lang w:val="en-US"/>
        </w:rPr>
      </w:pPr>
      <w:r w:rsidRPr="0025391F">
        <w:rPr>
          <w:rFonts w:ascii="Calibri" w:hAnsi="Calibri" w:cs="Calibri"/>
          <w:smallCaps/>
          <w:lang w:val="en-US"/>
        </w:rPr>
        <w:t>Thompson D.V.</w:t>
      </w:r>
      <w:r w:rsidRPr="0025391F">
        <w:rPr>
          <w:rFonts w:ascii="Calibri" w:hAnsi="Calibri" w:cs="Calibri"/>
          <w:lang w:val="en-US"/>
        </w:rPr>
        <w:t xml:space="preserve">, </w:t>
      </w:r>
      <w:r w:rsidRPr="0025391F">
        <w:rPr>
          <w:rFonts w:ascii="Calibri" w:hAnsi="Calibri" w:cs="Calibri"/>
          <w:smallCaps/>
          <w:lang w:val="en-US"/>
        </w:rPr>
        <w:t>Hamilton R.W.</w:t>
      </w:r>
      <w:r w:rsidRPr="0025391F">
        <w:rPr>
          <w:rFonts w:ascii="Calibri" w:hAnsi="Calibri" w:cs="Calibri"/>
          <w:lang w:val="en-US"/>
        </w:rPr>
        <w:t xml:space="preserve">, </w:t>
      </w:r>
      <w:r w:rsidRPr="0025391F">
        <w:rPr>
          <w:rFonts w:ascii="Calibri" w:hAnsi="Calibri" w:cs="Calibri"/>
          <w:smallCaps/>
          <w:lang w:val="en-US"/>
        </w:rPr>
        <w:t>Rust R.T.</w:t>
      </w:r>
      <w:r w:rsidRPr="0025391F">
        <w:rPr>
          <w:rFonts w:ascii="Calibri" w:hAnsi="Calibri" w:cs="Calibri"/>
          <w:lang w:val="en-US"/>
        </w:rPr>
        <w:t xml:space="preserve">, 2005, « Feature Fatigue: When Product Capabilities Become Too Much of a Good Thing », </w:t>
      </w:r>
      <w:r w:rsidRPr="0025391F">
        <w:rPr>
          <w:rFonts w:ascii="Calibri" w:hAnsi="Calibri" w:cs="Calibri"/>
          <w:i/>
          <w:iCs/>
          <w:lang w:val="en-US"/>
        </w:rPr>
        <w:t>Journal of Marketing Research</w:t>
      </w:r>
      <w:r w:rsidRPr="0025391F">
        <w:rPr>
          <w:rFonts w:ascii="Calibri" w:hAnsi="Calibri" w:cs="Calibri"/>
          <w:lang w:val="en-US"/>
        </w:rPr>
        <w:t xml:space="preserve">, </w:t>
      </w:r>
      <w:r w:rsidRPr="0025391F">
        <w:rPr>
          <w:rFonts w:ascii="Calibri" w:hAnsi="Calibri" w:cs="Calibri"/>
          <w:i/>
          <w:iCs/>
          <w:lang w:val="en-US"/>
        </w:rPr>
        <w:t>42</w:t>
      </w:r>
      <w:r w:rsidRPr="0025391F">
        <w:rPr>
          <w:rFonts w:ascii="Calibri" w:hAnsi="Calibri" w:cs="Calibri"/>
          <w:lang w:val="en-US"/>
        </w:rPr>
        <w:t>, 4, p. 431‑442.</w:t>
      </w:r>
    </w:p>
    <w:p w14:paraId="6C9810E4" w14:textId="77777777" w:rsidR="0025391F" w:rsidRPr="0025391F" w:rsidRDefault="0025391F" w:rsidP="0025391F">
      <w:pPr>
        <w:pStyle w:val="Bibliographie"/>
        <w:rPr>
          <w:rFonts w:ascii="Calibri" w:hAnsi="Calibri" w:cs="Calibri"/>
          <w:lang w:val="en-US"/>
        </w:rPr>
      </w:pPr>
      <w:r w:rsidRPr="0025391F">
        <w:rPr>
          <w:rFonts w:ascii="Calibri" w:hAnsi="Calibri" w:cs="Calibri"/>
          <w:lang w:val="en-US"/>
        </w:rPr>
        <w:t>2002, « Universal design : Product Evaluation Countdown », N.C. State University, The Center for Universal Design.</w:t>
      </w:r>
    </w:p>
    <w:p w14:paraId="6D2C37EC" w14:textId="726E2C3F" w:rsidR="00E95220" w:rsidRPr="00AA65D0" w:rsidRDefault="00E90402" w:rsidP="00AA65D0">
      <w:pPr>
        <w:rPr>
          <w:rFonts w:ascii="Barlow Medium" w:hAnsi="Barlow Medium"/>
          <w:color w:val="00304F"/>
        </w:rPr>
      </w:pPr>
      <w:r>
        <w:fldChar w:fldCharType="end"/>
      </w:r>
    </w:p>
    <w:sectPr w:rsidR="00E95220" w:rsidRPr="00AA65D0" w:rsidSect="0025391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9A31" w14:textId="77777777" w:rsidR="00395671" w:rsidRDefault="00395671" w:rsidP="00042F90">
      <w:pPr>
        <w:spacing w:after="0" w:line="240" w:lineRule="auto"/>
      </w:pPr>
      <w:r>
        <w:separator/>
      </w:r>
    </w:p>
  </w:endnote>
  <w:endnote w:type="continuationSeparator" w:id="0">
    <w:p w14:paraId="2AA5A852" w14:textId="77777777" w:rsidR="00395671" w:rsidRDefault="00395671" w:rsidP="0004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4D"/>
    <w:family w:val="roman"/>
    <w:pitch w:val="variable"/>
    <w:sig w:usb0="00000007" w:usb1="00000001" w:usb2="00000000" w:usb3="00000000" w:csb0="00000093" w:csb1="00000000"/>
  </w:font>
  <w:font w:name="Barlow Medium">
    <w:altName w:val="Calibri"/>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2F22" w14:textId="77777777" w:rsidR="0092694C" w:rsidRDefault="009269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48A7" w14:textId="49393EF0" w:rsidR="006014A7" w:rsidRDefault="0092694C">
    <w:pPr>
      <w:pStyle w:val="Pieddepage"/>
    </w:pPr>
    <w:r>
      <w:rPr>
        <w:noProof/>
      </w:rPr>
      <w:drawing>
        <wp:inline distT="0" distB="0" distL="0" distR="0" wp14:anchorId="34305D06" wp14:editId="3E6D6EDF">
          <wp:extent cx="5727700"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27700" cy="6654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EAC6" w14:textId="77777777" w:rsidR="0092694C" w:rsidRDefault="009269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B85E" w14:textId="77777777" w:rsidR="00395671" w:rsidRDefault="00395671" w:rsidP="00042F90">
      <w:pPr>
        <w:spacing w:after="0" w:line="240" w:lineRule="auto"/>
      </w:pPr>
      <w:r>
        <w:separator/>
      </w:r>
    </w:p>
  </w:footnote>
  <w:footnote w:type="continuationSeparator" w:id="0">
    <w:p w14:paraId="346B3E9F" w14:textId="77777777" w:rsidR="00395671" w:rsidRDefault="00395671" w:rsidP="00042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C46F" w14:textId="77777777" w:rsidR="0092694C" w:rsidRDefault="009269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87BA" w14:textId="6C399627" w:rsidR="006014A7" w:rsidRDefault="006014A7" w:rsidP="00AA65D0">
    <w:pPr>
      <w:pStyle w:val="En-tte"/>
      <w:jc w:val="distribute"/>
    </w:pPr>
    <w:r w:rsidRPr="00380642">
      <w:rPr>
        <w:noProof/>
      </w:rPr>
      <w:drawing>
        <wp:inline distT="0" distB="0" distL="0" distR="0" wp14:anchorId="76AA3328" wp14:editId="7A79782B">
          <wp:extent cx="2525423" cy="703531"/>
          <wp:effectExtent l="0" t="0" r="0" b="0"/>
          <wp:docPr id="5" name="Image 4" descr="Shape&#10;&#10;Description automatically generated with medium confidence">
            <a:extLst xmlns:a="http://schemas.openxmlformats.org/drawingml/2006/main">
              <a:ext uri="{FF2B5EF4-FFF2-40B4-BE49-F238E27FC236}">
                <a16:creationId xmlns:a16="http://schemas.microsoft.com/office/drawing/2014/main" id="{8C1E2DE5-A1DF-4357-A721-B35A9ABD03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Shape&#10;&#10;Description automatically generated with medium confidence">
                    <a:extLst>
                      <a:ext uri="{FF2B5EF4-FFF2-40B4-BE49-F238E27FC236}">
                        <a16:creationId xmlns:a16="http://schemas.microsoft.com/office/drawing/2014/main" id="{8C1E2DE5-A1DF-4357-A721-B35A9ABD03C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80143" cy="746633"/>
                  </a:xfrm>
                  <a:prstGeom prst="rect">
                    <a:avLst/>
                  </a:prstGeom>
                </pic:spPr>
              </pic:pic>
            </a:graphicData>
          </a:graphic>
        </wp:inline>
      </w:drawing>
    </w:r>
    <w:r w:rsidR="0092694C">
      <w:rPr>
        <w:noProof/>
        <w:lang w:eastAsia="fr-FR"/>
      </w:rPr>
      <w:drawing>
        <wp:inline distT="0" distB="0" distL="0" distR="0" wp14:anchorId="78424968" wp14:editId="220702B5">
          <wp:extent cx="2304378" cy="76009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s bordures.png"/>
                  <pic:cNvPicPr/>
                </pic:nvPicPr>
                <pic:blipFill rotWithShape="1">
                  <a:blip r:embed="rId2" cstate="print">
                    <a:extLst>
                      <a:ext uri="{28A0092B-C50C-407E-A947-70E740481C1C}">
                        <a14:useLocalDpi xmlns:a14="http://schemas.microsoft.com/office/drawing/2010/main" val="0"/>
                      </a:ext>
                    </a:extLst>
                  </a:blip>
                  <a:srcRect t="31910" b="35105"/>
                  <a:stretch/>
                </pic:blipFill>
                <pic:spPr bwMode="auto">
                  <a:xfrm>
                    <a:off x="0" y="0"/>
                    <a:ext cx="2357203" cy="77751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28FB" w14:textId="77777777" w:rsidR="0092694C" w:rsidRDefault="009269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BF9"/>
    <w:multiLevelType w:val="hybridMultilevel"/>
    <w:tmpl w:val="92FEC03A"/>
    <w:lvl w:ilvl="0" w:tplc="FB80EB1E">
      <w:start w:val="1"/>
      <w:numFmt w:val="bullet"/>
      <w:lvlText w:val="–"/>
      <w:lvlJc w:val="left"/>
      <w:pPr>
        <w:tabs>
          <w:tab w:val="num" w:pos="720"/>
        </w:tabs>
        <w:ind w:left="720" w:hanging="360"/>
      </w:pPr>
      <w:rPr>
        <w:rFonts w:ascii="Arial" w:hAnsi="Arial" w:hint="default"/>
      </w:rPr>
    </w:lvl>
    <w:lvl w:ilvl="1" w:tplc="7D8844C0">
      <w:start w:val="1"/>
      <w:numFmt w:val="bullet"/>
      <w:lvlText w:val="–"/>
      <w:lvlJc w:val="left"/>
      <w:pPr>
        <w:tabs>
          <w:tab w:val="num" w:pos="1440"/>
        </w:tabs>
        <w:ind w:left="1440" w:hanging="360"/>
      </w:pPr>
      <w:rPr>
        <w:rFonts w:ascii="Arial" w:hAnsi="Arial" w:hint="default"/>
      </w:rPr>
    </w:lvl>
    <w:lvl w:ilvl="2" w:tplc="02F4A14A" w:tentative="1">
      <w:start w:val="1"/>
      <w:numFmt w:val="bullet"/>
      <w:lvlText w:val="–"/>
      <w:lvlJc w:val="left"/>
      <w:pPr>
        <w:tabs>
          <w:tab w:val="num" w:pos="2160"/>
        </w:tabs>
        <w:ind w:left="2160" w:hanging="360"/>
      </w:pPr>
      <w:rPr>
        <w:rFonts w:ascii="Arial" w:hAnsi="Arial" w:hint="default"/>
      </w:rPr>
    </w:lvl>
    <w:lvl w:ilvl="3" w:tplc="310C0CAC" w:tentative="1">
      <w:start w:val="1"/>
      <w:numFmt w:val="bullet"/>
      <w:lvlText w:val="–"/>
      <w:lvlJc w:val="left"/>
      <w:pPr>
        <w:tabs>
          <w:tab w:val="num" w:pos="2880"/>
        </w:tabs>
        <w:ind w:left="2880" w:hanging="360"/>
      </w:pPr>
      <w:rPr>
        <w:rFonts w:ascii="Arial" w:hAnsi="Arial" w:hint="default"/>
      </w:rPr>
    </w:lvl>
    <w:lvl w:ilvl="4" w:tplc="84BA5BE0" w:tentative="1">
      <w:start w:val="1"/>
      <w:numFmt w:val="bullet"/>
      <w:lvlText w:val="–"/>
      <w:lvlJc w:val="left"/>
      <w:pPr>
        <w:tabs>
          <w:tab w:val="num" w:pos="3600"/>
        </w:tabs>
        <w:ind w:left="3600" w:hanging="360"/>
      </w:pPr>
      <w:rPr>
        <w:rFonts w:ascii="Arial" w:hAnsi="Arial" w:hint="default"/>
      </w:rPr>
    </w:lvl>
    <w:lvl w:ilvl="5" w:tplc="0794388E" w:tentative="1">
      <w:start w:val="1"/>
      <w:numFmt w:val="bullet"/>
      <w:lvlText w:val="–"/>
      <w:lvlJc w:val="left"/>
      <w:pPr>
        <w:tabs>
          <w:tab w:val="num" w:pos="4320"/>
        </w:tabs>
        <w:ind w:left="4320" w:hanging="360"/>
      </w:pPr>
      <w:rPr>
        <w:rFonts w:ascii="Arial" w:hAnsi="Arial" w:hint="default"/>
      </w:rPr>
    </w:lvl>
    <w:lvl w:ilvl="6" w:tplc="01C64B2C" w:tentative="1">
      <w:start w:val="1"/>
      <w:numFmt w:val="bullet"/>
      <w:lvlText w:val="–"/>
      <w:lvlJc w:val="left"/>
      <w:pPr>
        <w:tabs>
          <w:tab w:val="num" w:pos="5040"/>
        </w:tabs>
        <w:ind w:left="5040" w:hanging="360"/>
      </w:pPr>
      <w:rPr>
        <w:rFonts w:ascii="Arial" w:hAnsi="Arial" w:hint="default"/>
      </w:rPr>
    </w:lvl>
    <w:lvl w:ilvl="7" w:tplc="4A505B44" w:tentative="1">
      <w:start w:val="1"/>
      <w:numFmt w:val="bullet"/>
      <w:lvlText w:val="–"/>
      <w:lvlJc w:val="left"/>
      <w:pPr>
        <w:tabs>
          <w:tab w:val="num" w:pos="5760"/>
        </w:tabs>
        <w:ind w:left="5760" w:hanging="360"/>
      </w:pPr>
      <w:rPr>
        <w:rFonts w:ascii="Arial" w:hAnsi="Arial" w:hint="default"/>
      </w:rPr>
    </w:lvl>
    <w:lvl w:ilvl="8" w:tplc="98BE53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863EDE"/>
    <w:multiLevelType w:val="hybridMultilevel"/>
    <w:tmpl w:val="FEFEEF28"/>
    <w:lvl w:ilvl="0" w:tplc="CE7270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F27BC2"/>
    <w:multiLevelType w:val="hybridMultilevel"/>
    <w:tmpl w:val="37A4FDAA"/>
    <w:lvl w:ilvl="0" w:tplc="75CEE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791DFE"/>
    <w:multiLevelType w:val="hybridMultilevel"/>
    <w:tmpl w:val="7C02F976"/>
    <w:lvl w:ilvl="0" w:tplc="BE4031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A4"/>
    <w:rsid w:val="00017197"/>
    <w:rsid w:val="000240FF"/>
    <w:rsid w:val="00027845"/>
    <w:rsid w:val="00042F90"/>
    <w:rsid w:val="0004606A"/>
    <w:rsid w:val="0007030B"/>
    <w:rsid w:val="000B1B44"/>
    <w:rsid w:val="000B49B4"/>
    <w:rsid w:val="001109E7"/>
    <w:rsid w:val="00117231"/>
    <w:rsid w:val="00133874"/>
    <w:rsid w:val="001552F7"/>
    <w:rsid w:val="00173C16"/>
    <w:rsid w:val="001A16E4"/>
    <w:rsid w:val="001A7CFE"/>
    <w:rsid w:val="001B1D09"/>
    <w:rsid w:val="001D1421"/>
    <w:rsid w:val="001D226B"/>
    <w:rsid w:val="001E215F"/>
    <w:rsid w:val="001E46E6"/>
    <w:rsid w:val="00232C0D"/>
    <w:rsid w:val="00247732"/>
    <w:rsid w:val="0025391F"/>
    <w:rsid w:val="002A6037"/>
    <w:rsid w:val="002C558D"/>
    <w:rsid w:val="002E107E"/>
    <w:rsid w:val="00374BD3"/>
    <w:rsid w:val="00395671"/>
    <w:rsid w:val="003D3B59"/>
    <w:rsid w:val="00450405"/>
    <w:rsid w:val="00465AD7"/>
    <w:rsid w:val="004A4985"/>
    <w:rsid w:val="00544F21"/>
    <w:rsid w:val="005643B6"/>
    <w:rsid w:val="005A71AC"/>
    <w:rsid w:val="005C73F0"/>
    <w:rsid w:val="006014A7"/>
    <w:rsid w:val="0061109F"/>
    <w:rsid w:val="006223EF"/>
    <w:rsid w:val="0063553A"/>
    <w:rsid w:val="00640E6A"/>
    <w:rsid w:val="00694FA6"/>
    <w:rsid w:val="006B6E55"/>
    <w:rsid w:val="006B7FC2"/>
    <w:rsid w:val="006C6A16"/>
    <w:rsid w:val="007439BC"/>
    <w:rsid w:val="00750E26"/>
    <w:rsid w:val="007F4FDA"/>
    <w:rsid w:val="0080141D"/>
    <w:rsid w:val="00837EBD"/>
    <w:rsid w:val="0085490B"/>
    <w:rsid w:val="00890D61"/>
    <w:rsid w:val="008A10B0"/>
    <w:rsid w:val="008A73A3"/>
    <w:rsid w:val="008C7F50"/>
    <w:rsid w:val="008D5908"/>
    <w:rsid w:val="00904452"/>
    <w:rsid w:val="0092694C"/>
    <w:rsid w:val="009422E2"/>
    <w:rsid w:val="009466CF"/>
    <w:rsid w:val="009873FA"/>
    <w:rsid w:val="009D0925"/>
    <w:rsid w:val="009D3F39"/>
    <w:rsid w:val="00A15628"/>
    <w:rsid w:val="00A42987"/>
    <w:rsid w:val="00A7509D"/>
    <w:rsid w:val="00A85910"/>
    <w:rsid w:val="00AA65D0"/>
    <w:rsid w:val="00AC110F"/>
    <w:rsid w:val="00AD7F2E"/>
    <w:rsid w:val="00B049A1"/>
    <w:rsid w:val="00B078DE"/>
    <w:rsid w:val="00B502E8"/>
    <w:rsid w:val="00B66D61"/>
    <w:rsid w:val="00B92306"/>
    <w:rsid w:val="00BD3FEA"/>
    <w:rsid w:val="00BE0469"/>
    <w:rsid w:val="00C00EDE"/>
    <w:rsid w:val="00C10CFA"/>
    <w:rsid w:val="00C43B66"/>
    <w:rsid w:val="00C90819"/>
    <w:rsid w:val="00D52E9C"/>
    <w:rsid w:val="00D844BC"/>
    <w:rsid w:val="00DA61A4"/>
    <w:rsid w:val="00DC1304"/>
    <w:rsid w:val="00DE18B4"/>
    <w:rsid w:val="00DE7925"/>
    <w:rsid w:val="00E2176E"/>
    <w:rsid w:val="00E2380B"/>
    <w:rsid w:val="00E90402"/>
    <w:rsid w:val="00E94B2C"/>
    <w:rsid w:val="00E95220"/>
    <w:rsid w:val="00ED5273"/>
    <w:rsid w:val="00EF0FD0"/>
    <w:rsid w:val="00F218CD"/>
    <w:rsid w:val="00F231ED"/>
    <w:rsid w:val="00F27D61"/>
    <w:rsid w:val="00F37924"/>
    <w:rsid w:val="00F6425A"/>
    <w:rsid w:val="00F767CB"/>
    <w:rsid w:val="00FD6D48"/>
    <w:rsid w:val="00FE09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76ED"/>
  <w15:chartTrackingRefBased/>
  <w15:docId w15:val="{15617563-BEE8-443F-8FD6-05863F8B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952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7F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D5273"/>
    <w:pPr>
      <w:ind w:left="720"/>
      <w:contextualSpacing/>
    </w:pPr>
  </w:style>
  <w:style w:type="paragraph" w:styleId="Textedebulles">
    <w:name w:val="Balloon Text"/>
    <w:basedOn w:val="Normal"/>
    <w:link w:val="TextedebullesCar"/>
    <w:uiPriority w:val="99"/>
    <w:semiHidden/>
    <w:unhideWhenUsed/>
    <w:rsid w:val="001E21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15F"/>
    <w:rPr>
      <w:rFonts w:ascii="Segoe UI" w:hAnsi="Segoe UI" w:cs="Segoe UI"/>
      <w:sz w:val="18"/>
      <w:szCs w:val="18"/>
    </w:rPr>
  </w:style>
  <w:style w:type="paragraph" w:styleId="En-tte">
    <w:name w:val="header"/>
    <w:basedOn w:val="Normal"/>
    <w:link w:val="En-tteCar"/>
    <w:uiPriority w:val="99"/>
    <w:unhideWhenUsed/>
    <w:rsid w:val="00042F90"/>
    <w:pPr>
      <w:tabs>
        <w:tab w:val="center" w:pos="4536"/>
        <w:tab w:val="right" w:pos="9072"/>
      </w:tabs>
      <w:spacing w:after="0" w:line="240" w:lineRule="auto"/>
    </w:pPr>
  </w:style>
  <w:style w:type="character" w:customStyle="1" w:styleId="En-tteCar">
    <w:name w:val="En-tête Car"/>
    <w:basedOn w:val="Policepardfaut"/>
    <w:link w:val="En-tte"/>
    <w:uiPriority w:val="99"/>
    <w:rsid w:val="00042F90"/>
  </w:style>
  <w:style w:type="paragraph" w:styleId="Pieddepage">
    <w:name w:val="footer"/>
    <w:basedOn w:val="Normal"/>
    <w:link w:val="PieddepageCar"/>
    <w:uiPriority w:val="99"/>
    <w:unhideWhenUsed/>
    <w:rsid w:val="00042F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F90"/>
  </w:style>
  <w:style w:type="paragraph" w:styleId="Notedebasdepage">
    <w:name w:val="footnote text"/>
    <w:basedOn w:val="Normal"/>
    <w:link w:val="NotedebasdepageCar"/>
    <w:uiPriority w:val="99"/>
    <w:semiHidden/>
    <w:unhideWhenUsed/>
    <w:rsid w:val="00173C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3C16"/>
    <w:rPr>
      <w:sz w:val="20"/>
      <w:szCs w:val="20"/>
    </w:rPr>
  </w:style>
  <w:style w:type="character" w:styleId="Appelnotedebasdep">
    <w:name w:val="footnote reference"/>
    <w:basedOn w:val="Policepardfaut"/>
    <w:uiPriority w:val="99"/>
    <w:semiHidden/>
    <w:unhideWhenUsed/>
    <w:rsid w:val="00173C16"/>
    <w:rPr>
      <w:vertAlign w:val="superscript"/>
    </w:rPr>
  </w:style>
  <w:style w:type="character" w:styleId="Lienhypertexte">
    <w:name w:val="Hyperlink"/>
    <w:basedOn w:val="Policepardfaut"/>
    <w:uiPriority w:val="99"/>
    <w:unhideWhenUsed/>
    <w:rsid w:val="00173C16"/>
    <w:rPr>
      <w:color w:val="0000FF"/>
      <w:u w:val="single"/>
    </w:rPr>
  </w:style>
  <w:style w:type="character" w:styleId="Mentionnonrsolue">
    <w:name w:val="Unresolved Mention"/>
    <w:basedOn w:val="Policepardfaut"/>
    <w:uiPriority w:val="99"/>
    <w:semiHidden/>
    <w:unhideWhenUsed/>
    <w:rsid w:val="00173C16"/>
    <w:rPr>
      <w:color w:val="605E5C"/>
      <w:shd w:val="clear" w:color="auto" w:fill="E1DFDD"/>
    </w:rPr>
  </w:style>
  <w:style w:type="paragraph" w:styleId="Bibliographie">
    <w:name w:val="Bibliography"/>
    <w:basedOn w:val="Normal"/>
    <w:next w:val="Normal"/>
    <w:uiPriority w:val="37"/>
    <w:unhideWhenUsed/>
    <w:rsid w:val="00E90402"/>
    <w:pPr>
      <w:spacing w:after="240" w:line="240" w:lineRule="auto"/>
    </w:pPr>
  </w:style>
  <w:style w:type="character" w:styleId="Marquedecommentaire">
    <w:name w:val="annotation reference"/>
    <w:basedOn w:val="Policepardfaut"/>
    <w:uiPriority w:val="99"/>
    <w:semiHidden/>
    <w:unhideWhenUsed/>
    <w:rsid w:val="008C7F50"/>
    <w:rPr>
      <w:sz w:val="16"/>
      <w:szCs w:val="16"/>
    </w:rPr>
  </w:style>
  <w:style w:type="paragraph" w:styleId="Commentaire">
    <w:name w:val="annotation text"/>
    <w:basedOn w:val="Normal"/>
    <w:link w:val="CommentaireCar"/>
    <w:uiPriority w:val="99"/>
    <w:semiHidden/>
    <w:unhideWhenUsed/>
    <w:rsid w:val="008C7F50"/>
    <w:pPr>
      <w:spacing w:line="240" w:lineRule="auto"/>
    </w:pPr>
    <w:rPr>
      <w:sz w:val="20"/>
      <w:szCs w:val="20"/>
    </w:rPr>
  </w:style>
  <w:style w:type="character" w:customStyle="1" w:styleId="CommentaireCar">
    <w:name w:val="Commentaire Car"/>
    <w:basedOn w:val="Policepardfaut"/>
    <w:link w:val="Commentaire"/>
    <w:uiPriority w:val="99"/>
    <w:semiHidden/>
    <w:rsid w:val="008C7F50"/>
    <w:rPr>
      <w:sz w:val="20"/>
      <w:szCs w:val="20"/>
    </w:rPr>
  </w:style>
  <w:style w:type="paragraph" w:styleId="Objetducommentaire">
    <w:name w:val="annotation subject"/>
    <w:basedOn w:val="Commentaire"/>
    <w:next w:val="Commentaire"/>
    <w:link w:val="ObjetducommentaireCar"/>
    <w:uiPriority w:val="99"/>
    <w:semiHidden/>
    <w:unhideWhenUsed/>
    <w:rsid w:val="008C7F50"/>
    <w:rPr>
      <w:b/>
      <w:bCs/>
    </w:rPr>
  </w:style>
  <w:style w:type="character" w:customStyle="1" w:styleId="ObjetducommentaireCar">
    <w:name w:val="Objet du commentaire Car"/>
    <w:basedOn w:val="CommentaireCar"/>
    <w:link w:val="Objetducommentaire"/>
    <w:uiPriority w:val="99"/>
    <w:semiHidden/>
    <w:rsid w:val="008C7F50"/>
    <w:rPr>
      <w:b/>
      <w:bCs/>
      <w:sz w:val="20"/>
      <w:szCs w:val="20"/>
    </w:rPr>
  </w:style>
  <w:style w:type="character" w:styleId="Appeldenotedefin">
    <w:name w:val="endnote reference"/>
    <w:basedOn w:val="Policepardfaut"/>
    <w:uiPriority w:val="99"/>
    <w:semiHidden/>
    <w:unhideWhenUsed/>
    <w:rsid w:val="00232C0D"/>
    <w:rPr>
      <w:vertAlign w:val="superscript"/>
    </w:rPr>
  </w:style>
  <w:style w:type="character" w:customStyle="1" w:styleId="Titre1Car">
    <w:name w:val="Titre 1 Car"/>
    <w:basedOn w:val="Policepardfaut"/>
    <w:link w:val="Titre1"/>
    <w:uiPriority w:val="9"/>
    <w:rsid w:val="00E952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5445">
      <w:bodyDiv w:val="1"/>
      <w:marLeft w:val="0"/>
      <w:marRight w:val="0"/>
      <w:marTop w:val="0"/>
      <w:marBottom w:val="0"/>
      <w:divBdr>
        <w:top w:val="none" w:sz="0" w:space="0" w:color="auto"/>
        <w:left w:val="none" w:sz="0" w:space="0" w:color="auto"/>
        <w:bottom w:val="none" w:sz="0" w:space="0" w:color="auto"/>
        <w:right w:val="none" w:sz="0" w:space="0" w:color="auto"/>
      </w:divBdr>
      <w:divsChild>
        <w:div w:id="1501043345">
          <w:marLeft w:val="0"/>
          <w:marRight w:val="0"/>
          <w:marTop w:val="0"/>
          <w:marBottom w:val="0"/>
          <w:divBdr>
            <w:top w:val="none" w:sz="0" w:space="0" w:color="auto"/>
            <w:left w:val="none" w:sz="0" w:space="0" w:color="auto"/>
            <w:bottom w:val="none" w:sz="0" w:space="0" w:color="auto"/>
            <w:right w:val="none" w:sz="0" w:space="0" w:color="auto"/>
          </w:divBdr>
        </w:div>
        <w:div w:id="1004278991">
          <w:marLeft w:val="0"/>
          <w:marRight w:val="0"/>
          <w:marTop w:val="0"/>
          <w:marBottom w:val="0"/>
          <w:divBdr>
            <w:top w:val="none" w:sz="0" w:space="0" w:color="auto"/>
            <w:left w:val="none" w:sz="0" w:space="0" w:color="auto"/>
            <w:bottom w:val="none" w:sz="0" w:space="0" w:color="auto"/>
            <w:right w:val="none" w:sz="0" w:space="0" w:color="auto"/>
          </w:divBdr>
        </w:div>
        <w:div w:id="1658806356">
          <w:marLeft w:val="0"/>
          <w:marRight w:val="0"/>
          <w:marTop w:val="0"/>
          <w:marBottom w:val="0"/>
          <w:divBdr>
            <w:top w:val="none" w:sz="0" w:space="0" w:color="auto"/>
            <w:left w:val="none" w:sz="0" w:space="0" w:color="auto"/>
            <w:bottom w:val="none" w:sz="0" w:space="0" w:color="auto"/>
            <w:right w:val="none" w:sz="0" w:space="0" w:color="auto"/>
          </w:divBdr>
        </w:div>
      </w:divsChild>
    </w:div>
    <w:div w:id="588580390">
      <w:bodyDiv w:val="1"/>
      <w:marLeft w:val="0"/>
      <w:marRight w:val="0"/>
      <w:marTop w:val="0"/>
      <w:marBottom w:val="0"/>
      <w:divBdr>
        <w:top w:val="none" w:sz="0" w:space="0" w:color="auto"/>
        <w:left w:val="none" w:sz="0" w:space="0" w:color="auto"/>
        <w:bottom w:val="none" w:sz="0" w:space="0" w:color="auto"/>
        <w:right w:val="none" w:sz="0" w:space="0" w:color="auto"/>
      </w:divBdr>
      <w:divsChild>
        <w:div w:id="309215591">
          <w:marLeft w:val="0"/>
          <w:marRight w:val="0"/>
          <w:marTop w:val="0"/>
          <w:marBottom w:val="0"/>
          <w:divBdr>
            <w:top w:val="none" w:sz="0" w:space="0" w:color="auto"/>
            <w:left w:val="none" w:sz="0" w:space="0" w:color="auto"/>
            <w:bottom w:val="none" w:sz="0" w:space="0" w:color="auto"/>
            <w:right w:val="none" w:sz="0" w:space="0" w:color="auto"/>
          </w:divBdr>
        </w:div>
        <w:div w:id="627588786">
          <w:marLeft w:val="0"/>
          <w:marRight w:val="0"/>
          <w:marTop w:val="0"/>
          <w:marBottom w:val="0"/>
          <w:divBdr>
            <w:top w:val="none" w:sz="0" w:space="0" w:color="auto"/>
            <w:left w:val="none" w:sz="0" w:space="0" w:color="auto"/>
            <w:bottom w:val="none" w:sz="0" w:space="0" w:color="auto"/>
            <w:right w:val="none" w:sz="0" w:space="0" w:color="auto"/>
          </w:divBdr>
        </w:div>
        <w:div w:id="1474180419">
          <w:marLeft w:val="0"/>
          <w:marRight w:val="0"/>
          <w:marTop w:val="0"/>
          <w:marBottom w:val="0"/>
          <w:divBdr>
            <w:top w:val="none" w:sz="0" w:space="0" w:color="auto"/>
            <w:left w:val="none" w:sz="0" w:space="0" w:color="auto"/>
            <w:bottom w:val="none" w:sz="0" w:space="0" w:color="auto"/>
            <w:right w:val="none" w:sz="0" w:space="0" w:color="auto"/>
          </w:divBdr>
        </w:div>
        <w:div w:id="1390417860">
          <w:marLeft w:val="0"/>
          <w:marRight w:val="0"/>
          <w:marTop w:val="0"/>
          <w:marBottom w:val="0"/>
          <w:divBdr>
            <w:top w:val="none" w:sz="0" w:space="0" w:color="auto"/>
            <w:left w:val="none" w:sz="0" w:space="0" w:color="auto"/>
            <w:bottom w:val="none" w:sz="0" w:space="0" w:color="auto"/>
            <w:right w:val="none" w:sz="0" w:space="0" w:color="auto"/>
          </w:divBdr>
        </w:div>
        <w:div w:id="986588692">
          <w:marLeft w:val="0"/>
          <w:marRight w:val="0"/>
          <w:marTop w:val="0"/>
          <w:marBottom w:val="0"/>
          <w:divBdr>
            <w:top w:val="none" w:sz="0" w:space="0" w:color="auto"/>
            <w:left w:val="none" w:sz="0" w:space="0" w:color="auto"/>
            <w:bottom w:val="none" w:sz="0" w:space="0" w:color="auto"/>
            <w:right w:val="none" w:sz="0" w:space="0" w:color="auto"/>
          </w:divBdr>
        </w:div>
        <w:div w:id="1765347017">
          <w:marLeft w:val="0"/>
          <w:marRight w:val="0"/>
          <w:marTop w:val="0"/>
          <w:marBottom w:val="0"/>
          <w:divBdr>
            <w:top w:val="none" w:sz="0" w:space="0" w:color="auto"/>
            <w:left w:val="none" w:sz="0" w:space="0" w:color="auto"/>
            <w:bottom w:val="none" w:sz="0" w:space="0" w:color="auto"/>
            <w:right w:val="none" w:sz="0" w:space="0" w:color="auto"/>
          </w:divBdr>
        </w:div>
        <w:div w:id="1180117344">
          <w:marLeft w:val="0"/>
          <w:marRight w:val="0"/>
          <w:marTop w:val="0"/>
          <w:marBottom w:val="0"/>
          <w:divBdr>
            <w:top w:val="none" w:sz="0" w:space="0" w:color="auto"/>
            <w:left w:val="none" w:sz="0" w:space="0" w:color="auto"/>
            <w:bottom w:val="none" w:sz="0" w:space="0" w:color="auto"/>
            <w:right w:val="none" w:sz="0" w:space="0" w:color="auto"/>
          </w:divBdr>
        </w:div>
        <w:div w:id="1286497810">
          <w:marLeft w:val="0"/>
          <w:marRight w:val="0"/>
          <w:marTop w:val="0"/>
          <w:marBottom w:val="0"/>
          <w:divBdr>
            <w:top w:val="none" w:sz="0" w:space="0" w:color="auto"/>
            <w:left w:val="none" w:sz="0" w:space="0" w:color="auto"/>
            <w:bottom w:val="none" w:sz="0" w:space="0" w:color="auto"/>
            <w:right w:val="none" w:sz="0" w:space="0" w:color="auto"/>
          </w:divBdr>
        </w:div>
        <w:div w:id="1555894618">
          <w:marLeft w:val="0"/>
          <w:marRight w:val="0"/>
          <w:marTop w:val="0"/>
          <w:marBottom w:val="0"/>
          <w:divBdr>
            <w:top w:val="none" w:sz="0" w:space="0" w:color="auto"/>
            <w:left w:val="none" w:sz="0" w:space="0" w:color="auto"/>
            <w:bottom w:val="none" w:sz="0" w:space="0" w:color="auto"/>
            <w:right w:val="none" w:sz="0" w:space="0" w:color="auto"/>
          </w:divBdr>
        </w:div>
        <w:div w:id="858549480">
          <w:marLeft w:val="0"/>
          <w:marRight w:val="0"/>
          <w:marTop w:val="0"/>
          <w:marBottom w:val="0"/>
          <w:divBdr>
            <w:top w:val="none" w:sz="0" w:space="0" w:color="auto"/>
            <w:left w:val="none" w:sz="0" w:space="0" w:color="auto"/>
            <w:bottom w:val="none" w:sz="0" w:space="0" w:color="auto"/>
            <w:right w:val="none" w:sz="0" w:space="0" w:color="auto"/>
          </w:divBdr>
        </w:div>
      </w:divsChild>
    </w:div>
    <w:div w:id="911624649">
      <w:bodyDiv w:val="1"/>
      <w:marLeft w:val="0"/>
      <w:marRight w:val="0"/>
      <w:marTop w:val="0"/>
      <w:marBottom w:val="0"/>
      <w:divBdr>
        <w:top w:val="none" w:sz="0" w:space="0" w:color="auto"/>
        <w:left w:val="none" w:sz="0" w:space="0" w:color="auto"/>
        <w:bottom w:val="none" w:sz="0" w:space="0" w:color="auto"/>
        <w:right w:val="none" w:sz="0" w:space="0" w:color="auto"/>
      </w:divBdr>
      <w:divsChild>
        <w:div w:id="1471289368">
          <w:marLeft w:val="1555"/>
          <w:marRight w:val="0"/>
          <w:marTop w:val="110"/>
          <w:marBottom w:val="0"/>
          <w:divBdr>
            <w:top w:val="none" w:sz="0" w:space="0" w:color="auto"/>
            <w:left w:val="none" w:sz="0" w:space="0" w:color="auto"/>
            <w:bottom w:val="none" w:sz="0" w:space="0" w:color="auto"/>
            <w:right w:val="none" w:sz="0" w:space="0" w:color="auto"/>
          </w:divBdr>
        </w:div>
        <w:div w:id="1371565882">
          <w:marLeft w:val="1555"/>
          <w:marRight w:val="0"/>
          <w:marTop w:val="110"/>
          <w:marBottom w:val="0"/>
          <w:divBdr>
            <w:top w:val="none" w:sz="0" w:space="0" w:color="auto"/>
            <w:left w:val="none" w:sz="0" w:space="0" w:color="auto"/>
            <w:bottom w:val="none" w:sz="0" w:space="0" w:color="auto"/>
            <w:right w:val="none" w:sz="0" w:space="0" w:color="auto"/>
          </w:divBdr>
        </w:div>
        <w:div w:id="183133445">
          <w:marLeft w:val="1555"/>
          <w:marRight w:val="0"/>
          <w:marTop w:val="110"/>
          <w:marBottom w:val="0"/>
          <w:divBdr>
            <w:top w:val="none" w:sz="0" w:space="0" w:color="auto"/>
            <w:left w:val="none" w:sz="0" w:space="0" w:color="auto"/>
            <w:bottom w:val="none" w:sz="0" w:space="0" w:color="auto"/>
            <w:right w:val="none" w:sz="0" w:space="0" w:color="auto"/>
          </w:divBdr>
        </w:div>
        <w:div w:id="611977665">
          <w:marLeft w:val="1555"/>
          <w:marRight w:val="0"/>
          <w:marTop w:val="110"/>
          <w:marBottom w:val="0"/>
          <w:divBdr>
            <w:top w:val="none" w:sz="0" w:space="0" w:color="auto"/>
            <w:left w:val="none" w:sz="0" w:space="0" w:color="auto"/>
            <w:bottom w:val="none" w:sz="0" w:space="0" w:color="auto"/>
            <w:right w:val="none" w:sz="0" w:space="0" w:color="auto"/>
          </w:divBdr>
        </w:div>
      </w:divsChild>
    </w:div>
    <w:div w:id="21399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il.polytechnique.edu/i3_crg/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elle.peyrard@apf.asso.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883EA97B3A7468C9CA3069EA9550B" ma:contentTypeVersion="14" ma:contentTypeDescription="Crée un document." ma:contentTypeScope="" ma:versionID="b2fb85c6f83cca8dee4b75bcce88024b">
  <xsd:schema xmlns:xsd="http://www.w3.org/2001/XMLSchema" xmlns:xs="http://www.w3.org/2001/XMLSchema" xmlns:p="http://schemas.microsoft.com/office/2006/metadata/properties" xmlns:ns3="4cb74d91-c303-4886-b822-e77199c86b76" xmlns:ns4="93301f1c-c6f8-4824-8773-34df5e23ae18" targetNamespace="http://schemas.microsoft.com/office/2006/metadata/properties" ma:root="true" ma:fieldsID="3797f10013f847cf6db2aeefaff2aa67" ns3:_="" ns4:_="">
    <xsd:import namespace="4cb74d91-c303-4886-b822-e77199c86b76"/>
    <xsd:import namespace="93301f1c-c6f8-4824-8773-34df5e23ae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74d91-c303-4886-b822-e77199c86b7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01f1c-c6f8-4824-8773-34df5e23ae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53C7-CD10-43D9-9BDB-81F27CA17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A189F-7694-48F9-B1E5-B2DBAD9D2DC5}">
  <ds:schemaRefs>
    <ds:schemaRef ds:uri="http://schemas.microsoft.com/sharepoint/v3/contenttype/forms"/>
  </ds:schemaRefs>
</ds:datastoreItem>
</file>

<file path=customXml/itemProps3.xml><?xml version="1.0" encoding="utf-8"?>
<ds:datastoreItem xmlns:ds="http://schemas.openxmlformats.org/officeDocument/2006/customXml" ds:itemID="{3F8B55D8-63EF-4983-B8E5-5926D0799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74d91-c303-4886-b822-e77199c86b76"/>
    <ds:schemaRef ds:uri="93301f1c-c6f8-4824-8773-34df5e23a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A3F75-B99A-4C45-BFB3-C267695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2385</Words>
  <Characters>13122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PEYRARD</dc:creator>
  <cp:keywords/>
  <dc:description/>
  <cp:lastModifiedBy>Catherine Gayda</cp:lastModifiedBy>
  <cp:revision>2</cp:revision>
  <cp:lastPrinted>2018-11-27T13:03:00Z</cp:lastPrinted>
  <dcterms:created xsi:type="dcterms:W3CDTF">2023-01-11T08:52:00Z</dcterms:created>
  <dcterms:modified xsi:type="dcterms:W3CDTF">2023-01-11T08:52:00Z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0x010100E3D883EA97B3A7468C9CA3069EA9550B</vt:lpwstr>
  </property>
  <property fmtid="{D5CDD505-2E9C-101B-9397-08002B2CF9AE}" pid="3" name="ZOTERO_PREF_1">
    <vt:lpwstr>&lt;data data-version="3" zotero-version="6.0.9"&gt;&lt;session id="jvHM8U2d"/&gt;&lt;style id="http://www.zotero.org/styles/revue-francaise-de-sociologie" hasBibliography="1" bibliographyStyleHasBeenSet="1"/&gt;&lt;prefs&gt;&lt;pref name="fieldType" value="Field"/&gt;&lt;/prefs&gt;&lt;/data&gt;</vt:lpwstr>
  </property>
</Properties>
</file>